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E02CEA" w:rsidRDefault="006402F1">
      <w:pPr>
        <w:pStyle w:val="Heading1"/>
        <w:spacing w:before="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Native and the Translator: A Tale of Two Banking Strategies</w:t>
      </w:r>
    </w:p>
    <w:p w14:paraId="00000002" w14:textId="77777777" w:rsidR="00E02CEA" w:rsidRDefault="006402F1">
      <w:pPr>
        <w:pStyle w:val="Heading2"/>
        <w:spacing w:before="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Chapter 1: The Tower of Babel</w:t>
      </w:r>
    </w:p>
    <w:p w14:paraId="00000003" w14:textId="77777777" w:rsidR="00E02CEA" w:rsidRDefault="006402F1">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After the 2008 financial crisis, regulators worldwide demanded transparency. They asked banks to report every trade, but they didn't agree on a common language. The US wanted data in one format; Europe wanted another; Asia a third [</w:t>
      </w:r>
      <w:hyperlink r:id="rId5">
        <w:r>
          <w:rPr>
            <w:rFonts w:ascii="Google Sans Text" w:eastAsia="Google Sans Text" w:hAnsi="Google Sans Text" w:cs="Google Sans Text"/>
            <w:color w:val="0B57D0"/>
            <w:u w:val="single"/>
          </w:rPr>
          <w:t>ISDA Digital Regulatory Reporting</w:t>
        </w:r>
      </w:hyperlink>
      <w:r>
        <w:rPr>
          <w:rFonts w:ascii="Google Sans Text" w:eastAsia="Google Sans Text" w:hAnsi="Google Sans Text" w:cs="Google Sans Text"/>
          <w:color w:val="1F1F1F"/>
        </w:rPr>
        <w:t>].</w:t>
      </w:r>
    </w:p>
    <w:p w14:paraId="00000004" w14:textId="77777777" w:rsidR="00E02CEA" w:rsidRDefault="006402F1">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Banks responded by building a "spaghetti architecture"—a messy patchwork of systems designed to satisfy each regulator individually. It worked, but it was expensive, chaotic, and prone to error [</w:t>
      </w:r>
      <w:hyperlink r:id="rId6">
        <w:r>
          <w:rPr>
            <w:rFonts w:ascii="Google Sans Text" w:eastAsia="Google Sans Text" w:hAnsi="Google Sans Text" w:cs="Google Sans Text"/>
            <w:color w:val="0B57D0"/>
            <w:u w:val="single"/>
          </w:rPr>
          <w:t>ISDA DRR Whitepaper</w:t>
        </w:r>
      </w:hyperlink>
      <w:r>
        <w:rPr>
          <w:rFonts w:ascii="Google Sans Text" w:eastAsia="Google Sans Text" w:hAnsi="Google Sans Text" w:cs="Google Sans Text"/>
          <w:color w:val="1F1F1F"/>
        </w:rPr>
        <w:t xml:space="preserve">]. To fix this, the industry created the </w:t>
      </w:r>
      <w:r>
        <w:rPr>
          <w:rFonts w:ascii="Google Sans Text" w:eastAsia="Google Sans Text" w:hAnsi="Google Sans Text" w:cs="Google Sans Text"/>
          <w:b/>
          <w:bCs/>
          <w:color w:val="1F1F1F"/>
        </w:rPr>
        <w:t>ISDA Common Domain Model (CDM)</w:t>
      </w:r>
      <w:r>
        <w:rPr>
          <w:rFonts w:ascii="Google Sans Text" w:eastAsia="Google Sans Text" w:hAnsi="Google Sans Text" w:cs="Google Sans Text"/>
          <w:color w:val="1F1F1F"/>
        </w:rPr>
        <w:t>: a single, digital "language" that defines exactly what a trade is, ensuring everyone means the same thing when they say "Swap" or "Bond" [</w:t>
      </w:r>
      <w:hyperlink r:id="rId7">
        <w:r>
          <w:rPr>
            <w:rFonts w:ascii="Google Sans Text" w:eastAsia="Google Sans Text" w:hAnsi="Google Sans Text" w:cs="Google Sans Text"/>
            <w:color w:val="0B57D0"/>
            <w:u w:val="single"/>
          </w:rPr>
          <w:t>FINOS CDM Resources</w:t>
        </w:r>
      </w:hyperlink>
      <w:r>
        <w:rPr>
          <w:rFonts w:ascii="Google Sans Text" w:eastAsia="Google Sans Text" w:hAnsi="Google Sans Text" w:cs="Google Sans Text"/>
          <w:color w:val="1F1F1F"/>
        </w:rPr>
        <w:t>].</w:t>
      </w:r>
    </w:p>
    <w:p w14:paraId="00000005" w14:textId="77777777" w:rsidR="00E02CEA" w:rsidRDefault="006402F1">
      <w:pPr>
        <w:pStyle w:val="Heading2"/>
        <w:spacing w:before="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Chapter 2: The Fork in the Road</w:t>
      </w:r>
    </w:p>
    <w:p w14:paraId="00000006" w14:textId="77777777" w:rsidR="00E02CEA" w:rsidRDefault="006402F1">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With this new common language available, a strategic divide has </w:t>
      </w:r>
      <w:proofErr w:type="gramStart"/>
      <w:r>
        <w:rPr>
          <w:rFonts w:ascii="Google Sans Text" w:eastAsia="Google Sans Text" w:hAnsi="Google Sans Text" w:cs="Google Sans Text"/>
          <w:color w:val="1F1F1F"/>
        </w:rPr>
        <w:t>opened up</w:t>
      </w:r>
      <w:proofErr w:type="gramEnd"/>
      <w:r>
        <w:rPr>
          <w:rFonts w:ascii="Google Sans Text" w:eastAsia="Google Sans Text" w:hAnsi="Google Sans Text" w:cs="Google Sans Text"/>
          <w:color w:val="1F1F1F"/>
        </w:rPr>
        <w:t xml:space="preserve"> in the banking world. Two distinct paths have emerged for adopting the CDM.</w:t>
      </w:r>
    </w:p>
    <w:p w14:paraId="00000007" w14:textId="77777777" w:rsidR="00E02CEA" w:rsidRDefault="006402F1">
      <w:pPr>
        <w:pStyle w:val="Heading3"/>
        <w:spacing w:before="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Path A: The Native Speaker (J.P. Morgan)</w:t>
      </w:r>
    </w:p>
    <w:p w14:paraId="00000008" w14:textId="77777777" w:rsidR="00E02CEA" w:rsidRDefault="006402F1">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Strategy:</w:t>
      </w:r>
      <w:r>
        <w:rPr>
          <w:rFonts w:ascii="Google Sans Text" w:eastAsia="Google Sans Text" w:hAnsi="Google Sans Text" w:cs="Google Sans Text"/>
          <w:color w:val="1F1F1F"/>
        </w:rPr>
        <w:t xml:space="preserve"> "Native Adoption"</w:t>
      </w:r>
    </w:p>
    <w:p w14:paraId="00000009" w14:textId="77777777" w:rsidR="00E02CEA" w:rsidRDefault="006402F1">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J.P. Morgan (JPM) chose the difficult path. Instead of just using the CDM to talk to regulators, they decided to </w:t>
      </w:r>
      <w:r>
        <w:rPr>
          <w:rFonts w:ascii="Google Sans Text" w:eastAsia="Google Sans Text" w:hAnsi="Google Sans Text" w:cs="Google Sans Text"/>
          <w:b/>
          <w:bCs/>
          <w:color w:val="1F1F1F"/>
        </w:rPr>
        <w:t>think</w:t>
      </w:r>
      <w:r>
        <w:rPr>
          <w:rFonts w:ascii="Google Sans Text" w:eastAsia="Google Sans Text" w:hAnsi="Google Sans Text" w:cs="Google Sans Text"/>
          <w:color w:val="1F1F1F"/>
        </w:rPr>
        <w:t xml:space="preserve"> in CDM [</w:t>
      </w:r>
      <w:hyperlink r:id="rId8">
        <w:r>
          <w:rPr>
            <w:rFonts w:ascii="Google Sans Text" w:eastAsia="Google Sans Text" w:hAnsi="Google Sans Text" w:cs="Google Sans Text"/>
            <w:color w:val="0B57D0"/>
            <w:u w:val="single"/>
          </w:rPr>
          <w:t>JPMC Tech Blog</w:t>
        </w:r>
      </w:hyperlink>
      <w:r>
        <w:rPr>
          <w:rFonts w:ascii="Google Sans Text" w:eastAsia="Google Sans Text" w:hAnsi="Google Sans Text" w:cs="Google Sans Text"/>
          <w:color w:val="1F1F1F"/>
        </w:rPr>
        <w:t>].</w:t>
      </w:r>
    </w:p>
    <w:p w14:paraId="0000000A" w14:textId="77777777" w:rsidR="00E02CEA" w:rsidRDefault="006402F1">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JPM is tearing out old "booking systems" and replacing them with infrastructure that speaks CDM natively. When a trade happens at JPM, it is born as a CDM object. It doesn't need to be translated; it is already in the correct format [</w:t>
      </w:r>
      <w:hyperlink r:id="rId9">
        <w:r>
          <w:rPr>
            <w:rFonts w:ascii="Google Sans Text" w:eastAsia="Google Sans Text" w:hAnsi="Google Sans Text" w:cs="Google Sans Text"/>
            <w:color w:val="0B57D0"/>
            <w:u w:val="single"/>
          </w:rPr>
          <w:t>JPMC Tech Blog</w:t>
        </w:r>
      </w:hyperlink>
      <w:r>
        <w:rPr>
          <w:rFonts w:ascii="Google Sans Text" w:eastAsia="Google Sans Text" w:hAnsi="Google Sans Text" w:cs="Google Sans Text"/>
          <w:color w:val="1F1F1F"/>
        </w:rPr>
        <w:t>].</w:t>
      </w:r>
    </w:p>
    <w:p w14:paraId="0000000B" w14:textId="77777777" w:rsidR="00E02CEA" w:rsidRDefault="006402F1">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The Cost:</w:t>
      </w:r>
      <w:r>
        <w:rPr>
          <w:rFonts w:ascii="Google Sans Text" w:eastAsia="Google Sans Text" w:hAnsi="Google Sans Text" w:cs="Google Sans Text"/>
          <w:color w:val="1F1F1F"/>
        </w:rPr>
        <w:t xml:space="preserve"> High upfront investment. It requires rewriting the bank's deep internal "plumbing" [</w:t>
      </w:r>
      <w:hyperlink r:id="rId10">
        <w:r>
          <w:rPr>
            <w:rFonts w:ascii="Google Sans Text" w:eastAsia="Google Sans Text" w:hAnsi="Google Sans Text" w:cs="Google Sans Text"/>
            <w:color w:val="0B57D0"/>
            <w:u w:val="single"/>
          </w:rPr>
          <w:t>Cognizant Insights</w:t>
        </w:r>
      </w:hyperlink>
      <w:r>
        <w:rPr>
          <w:rFonts w:ascii="Google Sans Text" w:eastAsia="Google Sans Text" w:hAnsi="Google Sans Text" w:cs="Google Sans Text"/>
          <w:color w:val="1F1F1F"/>
        </w:rPr>
        <w:t>].</w:t>
      </w:r>
    </w:p>
    <w:p w14:paraId="0000000C" w14:textId="77777777" w:rsidR="00E02CEA" w:rsidRDefault="006402F1">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The Reward:</w:t>
      </w:r>
      <w:r>
        <w:rPr>
          <w:rFonts w:ascii="Google Sans Text" w:eastAsia="Google Sans Text" w:hAnsi="Google Sans Text" w:cs="Google Sans Text"/>
          <w:color w:val="1F1F1F"/>
        </w:rPr>
        <w:t xml:space="preserve"> They effectively deleted the distinction between "internal data" and "regulatory data." By speaking the language natively, they are immune to the constant costs of translation and reconciliation. They are paying down their "technical debt" once and for all [</w:t>
      </w:r>
      <w:proofErr w:type="spellStart"/>
      <w:r>
        <w:fldChar w:fldCharType="begin"/>
      </w:r>
      <w:r>
        <w:instrText>HYPERLINK "https://finadium.com/j-p-morgan-first-us-bank-to-use-cdm-drr-as-primary-reporting-mechanism/" \h</w:instrText>
      </w:r>
      <w:r>
        <w:fldChar w:fldCharType="separate"/>
      </w:r>
      <w:r>
        <w:rPr>
          <w:rFonts w:ascii="Google Sans Text" w:eastAsia="Google Sans Text" w:hAnsi="Google Sans Text" w:cs="Google Sans Text"/>
          <w:color w:val="0B57D0"/>
          <w:u w:val="single"/>
        </w:rPr>
        <w:t>Finadium</w:t>
      </w:r>
      <w:proofErr w:type="spellEnd"/>
      <w:r>
        <w:fldChar w:fldCharType="end"/>
      </w:r>
      <w:r>
        <w:rPr>
          <w:rFonts w:ascii="Google Sans Text" w:eastAsia="Google Sans Text" w:hAnsi="Google Sans Text" w:cs="Google Sans Text"/>
          <w:color w:val="1F1F1F"/>
        </w:rPr>
        <w:t>].</w:t>
      </w:r>
    </w:p>
    <w:p w14:paraId="0000000D" w14:textId="77777777" w:rsidR="00E02CEA" w:rsidRDefault="006402F1">
      <w:pPr>
        <w:pStyle w:val="Heading3"/>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Path B: The Translator (The Peers)</w:t>
      </w:r>
    </w:p>
    <w:p w14:paraId="0000000E" w14:textId="77777777" w:rsidR="00E02CEA" w:rsidRDefault="006402F1">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Strategy:</w:t>
      </w:r>
      <w:r>
        <w:rPr>
          <w:rFonts w:ascii="Google Sans Text" w:eastAsia="Google Sans Text" w:hAnsi="Google Sans Text" w:cs="Google Sans Text"/>
          <w:color w:val="1F1F1F"/>
        </w:rPr>
        <w:t xml:space="preserve"> "Limited" or "Translation Layer"</w:t>
      </w:r>
    </w:p>
    <w:p w14:paraId="0000000F" w14:textId="77777777" w:rsidR="00E02CEA" w:rsidRDefault="006402F1">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Most other major banks (peers like Bank of America, Citi, and to an extent, Goldman Sachs and BNP Paribas) chose the pragmatic path [</w:t>
      </w:r>
      <w:hyperlink r:id="rId11">
        <w:r>
          <w:rPr>
            <w:rFonts w:ascii="Google Sans Text" w:eastAsia="Google Sans Text" w:hAnsi="Google Sans Text" w:cs="Google Sans Text"/>
            <w:color w:val="0B57D0"/>
            <w:u w:val="single"/>
          </w:rPr>
          <w:t>Cognizant Insights</w:t>
        </w:r>
      </w:hyperlink>
      <w:r>
        <w:rPr>
          <w:rFonts w:ascii="Google Sans Text" w:eastAsia="Google Sans Text" w:hAnsi="Google Sans Text" w:cs="Google Sans Text"/>
          <w:color w:val="1F1F1F"/>
        </w:rPr>
        <w:t>]. They kept their decades-old legacy systems but built a "Translation Layer" on top [</w:t>
      </w:r>
      <w:hyperlink r:id="rId12">
        <w:r>
          <w:rPr>
            <w:rFonts w:ascii="Google Sans Text" w:eastAsia="Google Sans Text" w:hAnsi="Google Sans Text" w:cs="Google Sans Text"/>
            <w:color w:val="0B57D0"/>
            <w:u w:val="single"/>
          </w:rPr>
          <w:t>ISDA DRR Whitepaper</w:t>
        </w:r>
      </w:hyperlink>
      <w:r>
        <w:rPr>
          <w:rFonts w:ascii="Google Sans Text" w:eastAsia="Google Sans Text" w:hAnsi="Google Sans Text" w:cs="Google Sans Text"/>
          <w:color w:val="1F1F1F"/>
        </w:rPr>
        <w:t>].</w:t>
      </w:r>
    </w:p>
    <w:p w14:paraId="00000010" w14:textId="77777777" w:rsidR="00E02CEA" w:rsidRDefault="006402F1">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Think of this like a tourist using a phrasebook. The bank's internal systems still speak their old, proprietary language. When a regulator asks for a report, the bank pushes the data through a "translator" (often provided by vendors) to convert it into CDM [</w:t>
      </w:r>
      <w:proofErr w:type="spellStart"/>
      <w:r>
        <w:fldChar w:fldCharType="begin"/>
      </w:r>
      <w:r>
        <w:instrText>HYPERLINK "https://regnosys.com/insights/how-regtech-has-shaped-compliance-in-a-year-of-global-regulatory-changes/" \h</w:instrText>
      </w:r>
      <w:r>
        <w:fldChar w:fldCharType="separate"/>
      </w:r>
      <w:r>
        <w:rPr>
          <w:rFonts w:ascii="Google Sans Text" w:eastAsia="Google Sans Text" w:hAnsi="Google Sans Text" w:cs="Google Sans Text"/>
          <w:color w:val="0B57D0"/>
          <w:u w:val="single"/>
        </w:rPr>
        <w:t>Regnosys</w:t>
      </w:r>
      <w:proofErr w:type="spellEnd"/>
      <w:r>
        <w:fldChar w:fldCharType="end"/>
      </w:r>
      <w:r>
        <w:rPr>
          <w:rFonts w:ascii="Google Sans Text" w:eastAsia="Google Sans Text" w:hAnsi="Google Sans Text" w:cs="Google Sans Text"/>
          <w:color w:val="1F1F1F"/>
        </w:rPr>
        <w:t>].</w:t>
      </w:r>
    </w:p>
    <w:p w14:paraId="00000011" w14:textId="77777777" w:rsidR="00E02CEA" w:rsidRDefault="006402F1">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The Benefit:</w:t>
      </w:r>
      <w:r>
        <w:rPr>
          <w:rFonts w:ascii="Google Sans Text" w:eastAsia="Google Sans Text" w:hAnsi="Google Sans Text" w:cs="Google Sans Text"/>
          <w:color w:val="1F1F1F"/>
        </w:rPr>
        <w:t xml:space="preserve"> It is faster and cheaper today. They don't have to rebuild their core systems [</w:t>
      </w:r>
      <w:hyperlink r:id="rId13">
        <w:r>
          <w:rPr>
            <w:rFonts w:ascii="Google Sans Text" w:eastAsia="Google Sans Text" w:hAnsi="Google Sans Text" w:cs="Google Sans Text"/>
            <w:color w:val="0B57D0"/>
            <w:u w:val="single"/>
          </w:rPr>
          <w:t>ISDA DRR Whitepaper</w:t>
        </w:r>
      </w:hyperlink>
      <w:r>
        <w:rPr>
          <w:rFonts w:ascii="Google Sans Text" w:eastAsia="Google Sans Text" w:hAnsi="Google Sans Text" w:cs="Google Sans Text"/>
          <w:color w:val="1F1F1F"/>
        </w:rPr>
        <w:t>].</w:t>
      </w:r>
    </w:p>
    <w:p w14:paraId="00000012" w14:textId="77777777" w:rsidR="00E02CEA" w:rsidRDefault="006402F1">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The Risk:</w:t>
      </w:r>
      <w:r>
        <w:rPr>
          <w:rFonts w:ascii="Google Sans Text" w:eastAsia="Google Sans Text" w:hAnsi="Google Sans Text" w:cs="Google Sans Text"/>
          <w:color w:val="1F1F1F"/>
        </w:rPr>
        <w:t xml:space="preserve"> They have walked into the </w:t>
      </w:r>
      <w:r>
        <w:rPr>
          <w:rFonts w:ascii="Google Sans Text" w:eastAsia="Google Sans Text" w:hAnsi="Google Sans Text" w:cs="Google Sans Text"/>
          <w:b/>
          <w:bCs/>
          <w:color w:val="1F1F1F"/>
        </w:rPr>
        <w:t>"Rosetta Stone Trap"</w:t>
      </w:r>
      <w:r>
        <w:rPr>
          <w:rFonts w:ascii="Google Sans Text" w:eastAsia="Google Sans Text" w:hAnsi="Google Sans Text" w:cs="Google Sans Text"/>
          <w:color w:val="1F1F1F"/>
        </w:rPr>
        <w:t xml:space="preserve"> [</w:t>
      </w:r>
      <w:hyperlink r:id="rId14">
        <w:r>
          <w:rPr>
            <w:rFonts w:ascii="Google Sans Text" w:eastAsia="Google Sans Text" w:hAnsi="Google Sans Text" w:cs="Google Sans Text"/>
            <w:color w:val="0B57D0"/>
            <w:u w:val="single"/>
          </w:rPr>
          <w:t>American Banker</w:t>
        </w:r>
      </w:hyperlink>
      <w:r>
        <w:rPr>
          <w:rFonts w:ascii="Google Sans Text" w:eastAsia="Google Sans Text" w:hAnsi="Google Sans Text" w:cs="Google Sans Text"/>
          <w:color w:val="1F1F1F"/>
        </w:rPr>
        <w:t>].</w:t>
      </w:r>
    </w:p>
    <w:p w14:paraId="00000013" w14:textId="77777777" w:rsidR="00E02CEA" w:rsidRDefault="006402F1">
      <w:pPr>
        <w:pStyle w:val="Heading2"/>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Chapter 3: The Rosetta Stone Trap</w:t>
      </w:r>
    </w:p>
    <w:p w14:paraId="00000014" w14:textId="77777777" w:rsidR="00E02CEA" w:rsidRDefault="006402F1">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research identifies a dangerous flaw in the peer strategy called the </w:t>
      </w:r>
      <w:r>
        <w:rPr>
          <w:rFonts w:ascii="Google Sans Text" w:eastAsia="Google Sans Text" w:hAnsi="Google Sans Text" w:cs="Google Sans Text"/>
          <w:b/>
          <w:bCs/>
          <w:color w:val="1F1F1F"/>
        </w:rPr>
        <w:t>Rosetta Stone Trap</w:t>
      </w:r>
      <w:r>
        <w:rPr>
          <w:rFonts w:ascii="Google Sans Text" w:eastAsia="Google Sans Text" w:hAnsi="Google Sans Text" w:cs="Google Sans Text"/>
          <w:color w:val="1F1F1F"/>
        </w:rPr>
        <w:t xml:space="preserve"> [</w:t>
      </w:r>
      <w:hyperlink r:id="rId15">
        <w:r>
          <w:rPr>
            <w:rFonts w:ascii="Google Sans Text" w:eastAsia="Google Sans Text" w:hAnsi="Google Sans Text" w:cs="Google Sans Text"/>
            <w:color w:val="0B57D0"/>
            <w:u w:val="single"/>
          </w:rPr>
          <w:t>American Banker</w:t>
        </w:r>
      </w:hyperlink>
      <w:r>
        <w:rPr>
          <w:rFonts w:ascii="Google Sans Text" w:eastAsia="Google Sans Text" w:hAnsi="Google Sans Text" w:cs="Google Sans Text"/>
          <w:color w:val="1F1F1F"/>
        </w:rPr>
        <w:t>].</w:t>
      </w:r>
    </w:p>
    <w:p w14:paraId="00000015" w14:textId="77777777" w:rsidR="00E02CEA" w:rsidRDefault="006402F1">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When a bank relies on a translation layer, they create a permanent dependency on a map. Every time a regulator changes a rule, or the bank updates an internal system, the map breaks. They must constantly fix and maintain this "Rosetta Stone" [</w:t>
      </w:r>
      <w:hyperlink r:id="rId16">
        <w:r>
          <w:rPr>
            <w:rFonts w:ascii="Google Sans Text" w:eastAsia="Google Sans Text" w:hAnsi="Google Sans Text" w:cs="Google Sans Text"/>
            <w:color w:val="0B57D0"/>
            <w:u w:val="single"/>
          </w:rPr>
          <w:t>ISDA DRR Whitepaper</w:t>
        </w:r>
      </w:hyperlink>
      <w:r>
        <w:rPr>
          <w:rFonts w:ascii="Google Sans Text" w:eastAsia="Google Sans Text" w:hAnsi="Google Sans Text" w:cs="Google Sans Text"/>
          <w:color w:val="1F1F1F"/>
        </w:rPr>
        <w:t>].</w:t>
      </w:r>
    </w:p>
    <w:p w14:paraId="00000016" w14:textId="77777777" w:rsidR="00E02CEA" w:rsidRDefault="006402F1">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Worse, this layer obscures the truth. If a regulator asks, "Where did this number come from?", a JPM engineer can point to the trade itself. A peer engineer has to dig through the translation logic to find the answer, often losing the data's "lineage" (history) in the process [</w:t>
      </w:r>
      <w:hyperlink r:id="rId17">
        <w:r>
          <w:rPr>
            <w:rFonts w:ascii="Google Sans Text" w:eastAsia="Google Sans Text" w:hAnsi="Google Sans Text" w:cs="Google Sans Text"/>
            <w:color w:val="0B57D0"/>
            <w:u w:val="single"/>
          </w:rPr>
          <w:t>FMSB Data Management</w:t>
        </w:r>
      </w:hyperlink>
      <w:r>
        <w:rPr>
          <w:rFonts w:ascii="Google Sans Text" w:eastAsia="Google Sans Text" w:hAnsi="Google Sans Text" w:cs="Google Sans Text"/>
          <w:color w:val="1F1F1F"/>
        </w:rPr>
        <w:t>].</w:t>
      </w:r>
    </w:p>
    <w:p w14:paraId="00000017" w14:textId="77777777" w:rsidR="00E02CEA" w:rsidRDefault="006402F1">
      <w:pPr>
        <w:pStyle w:val="Heading2"/>
        <w:spacing w:before="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Chapter 4: The Upstream Ripple Effect (CCAR, Risk &amp; Capital)</w:t>
      </w:r>
    </w:p>
    <w:p w14:paraId="00000018" w14:textId="77777777" w:rsidR="00E02CEA" w:rsidRDefault="006402F1">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The impact of these strategies extends far beyond simple trade reporting. It radically alters how banks handle critical upstream reporting like </w:t>
      </w:r>
      <w:r>
        <w:rPr>
          <w:rFonts w:ascii="Google Sans Text" w:eastAsia="Google Sans Text" w:hAnsi="Google Sans Text" w:cs="Google Sans Text"/>
          <w:b/>
          <w:bCs/>
          <w:color w:val="1F1F1F"/>
        </w:rPr>
        <w:t>CCAR</w:t>
      </w:r>
      <w:r>
        <w:rPr>
          <w:rFonts w:ascii="Google Sans Text" w:eastAsia="Google Sans Text" w:hAnsi="Google Sans Text" w:cs="Google Sans Text"/>
          <w:color w:val="1F1F1F"/>
        </w:rPr>
        <w:t xml:space="preserve"> (Comprehensive Capital Analysis and Review), </w:t>
      </w:r>
      <w:r>
        <w:rPr>
          <w:rFonts w:ascii="Google Sans Text" w:eastAsia="Google Sans Text" w:hAnsi="Google Sans Text" w:cs="Google Sans Text"/>
          <w:b/>
          <w:bCs/>
          <w:color w:val="1F1F1F"/>
        </w:rPr>
        <w:t>FR Y-14</w:t>
      </w:r>
      <w:r>
        <w:rPr>
          <w:rFonts w:ascii="Google Sans Text" w:eastAsia="Google Sans Text" w:hAnsi="Google Sans Text" w:cs="Google Sans Text"/>
          <w:color w:val="1F1F1F"/>
        </w:rPr>
        <w:t xml:space="preserve">, and </w:t>
      </w:r>
      <w:r>
        <w:rPr>
          <w:rFonts w:ascii="Google Sans Text" w:eastAsia="Google Sans Text" w:hAnsi="Google Sans Text" w:cs="Google Sans Text"/>
          <w:b/>
          <w:bCs/>
          <w:color w:val="1F1F1F"/>
        </w:rPr>
        <w:t>NFRR</w:t>
      </w:r>
      <w:r>
        <w:rPr>
          <w:rFonts w:ascii="Google Sans Text" w:eastAsia="Google Sans Text" w:hAnsi="Google Sans Text" w:cs="Google Sans Text"/>
          <w:color w:val="1F1F1F"/>
        </w:rPr>
        <w:t xml:space="preserve"> (Non-Financial Regulatory Reporting).</w:t>
      </w:r>
    </w:p>
    <w:p w14:paraId="00000019" w14:textId="77777777" w:rsidR="00E02CEA" w:rsidRDefault="006402F1">
      <w:pPr>
        <w:pStyle w:val="Heading3"/>
        <w:spacing w:before="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"Two Truths" Problem (The Translator Strategy)</w:t>
      </w:r>
    </w:p>
    <w:p w14:paraId="0000001A" w14:textId="77777777" w:rsidR="00E02CEA" w:rsidRDefault="006402F1">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Research identifies major peers such as </w:t>
      </w:r>
      <w:r>
        <w:rPr>
          <w:rFonts w:ascii="Google Sans Text" w:eastAsia="Google Sans Text" w:hAnsi="Google Sans Text" w:cs="Google Sans Text"/>
          <w:b/>
          <w:bCs/>
          <w:color w:val="1F1F1F"/>
        </w:rPr>
        <w:t>Bank of America</w:t>
      </w:r>
      <w:r>
        <w:rPr>
          <w:rFonts w:ascii="Google Sans Text" w:eastAsia="Google Sans Text" w:hAnsi="Google Sans Text" w:cs="Google Sans Text"/>
          <w:color w:val="1F1F1F"/>
        </w:rPr>
        <w:t xml:space="preserve"> and </w:t>
      </w:r>
      <w:r>
        <w:rPr>
          <w:rFonts w:ascii="Google Sans Text" w:eastAsia="Google Sans Text" w:hAnsi="Google Sans Text" w:cs="Google Sans Text"/>
          <w:b/>
          <w:bCs/>
          <w:color w:val="1F1F1F"/>
        </w:rPr>
        <w:t>Citigroup</w:t>
      </w:r>
      <w:r>
        <w:rPr>
          <w:rFonts w:ascii="Google Sans Text" w:eastAsia="Google Sans Text" w:hAnsi="Google Sans Text" w:cs="Google Sans Text"/>
          <w:color w:val="1F1F1F"/>
        </w:rPr>
        <w:t xml:space="preserve"> as pursuing "limited" or "cautious" adoption strategies [</w:t>
      </w:r>
      <w:hyperlink r:id="rId18">
        <w:r>
          <w:rPr>
            <w:rFonts w:ascii="Google Sans Text" w:eastAsia="Google Sans Text" w:hAnsi="Google Sans Text" w:cs="Google Sans Text"/>
            <w:color w:val="0B57D0"/>
            <w:u w:val="single"/>
          </w:rPr>
          <w:t>Cognizant Insights</w:t>
        </w:r>
      </w:hyperlink>
      <w:r>
        <w:rPr>
          <w:rFonts w:ascii="Google Sans Text" w:eastAsia="Google Sans Text" w:hAnsi="Google Sans Text" w:cs="Google Sans Text"/>
          <w:color w:val="1F1F1F"/>
        </w:rPr>
        <w:t xml:space="preserve">]. While pragmatic, this approach creates a dangerous </w:t>
      </w:r>
      <w:r>
        <w:rPr>
          <w:rFonts w:ascii="Google Sans Text" w:eastAsia="Google Sans Text" w:hAnsi="Google Sans Text" w:cs="Google Sans Text"/>
          <w:b/>
          <w:bCs/>
          <w:color w:val="1F1F1F"/>
        </w:rPr>
        <w:t>"Two Truths"</w:t>
      </w:r>
      <w:r>
        <w:rPr>
          <w:rFonts w:ascii="Google Sans Text" w:eastAsia="Google Sans Text" w:hAnsi="Google Sans Text" w:cs="Google Sans Text"/>
          <w:color w:val="1F1F1F"/>
        </w:rPr>
        <w:t xml:space="preserve"> risk because the "Trade Reporting" team and the "Capital Planning" (CCAR) team operate in silos [</w:t>
      </w:r>
      <w:hyperlink r:id="rId19">
        <w:r>
          <w:rPr>
            <w:rFonts w:ascii="Google Sans Text" w:eastAsia="Google Sans Text" w:hAnsi="Google Sans Text" w:cs="Google Sans Text"/>
            <w:color w:val="0B57D0"/>
            <w:u w:val="single"/>
          </w:rPr>
          <w:t>ISDA DRR Whitepaper</w:t>
        </w:r>
      </w:hyperlink>
      <w:r>
        <w:rPr>
          <w:rFonts w:ascii="Google Sans Text" w:eastAsia="Google Sans Text" w:hAnsi="Google Sans Text" w:cs="Google Sans Text"/>
          <w:color w:val="1F1F1F"/>
        </w:rPr>
        <w:t>]:</w:t>
      </w:r>
    </w:p>
    <w:p w14:paraId="0000001B" w14:textId="77777777" w:rsidR="00E02CEA" w:rsidRDefault="006402F1">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Trade Reporting:</w:t>
      </w:r>
      <w:r>
        <w:rPr>
          <w:rFonts w:ascii="Google Sans Text" w:eastAsia="Google Sans Text" w:hAnsi="Google Sans Text" w:cs="Google Sans Text"/>
          <w:color w:val="1F1F1F"/>
        </w:rPr>
        <w:t xml:space="preserve"> Takes raw data and maps it to </w:t>
      </w:r>
      <w:r>
        <w:rPr>
          <w:rFonts w:ascii="Google Sans Text" w:eastAsia="Google Sans Text" w:hAnsi="Google Sans Text" w:cs="Google Sans Text"/>
          <w:b/>
          <w:bCs/>
          <w:color w:val="1F1F1F"/>
        </w:rPr>
        <w:t>CDM</w:t>
      </w:r>
      <w:r>
        <w:rPr>
          <w:rFonts w:ascii="Google Sans Text" w:eastAsia="Google Sans Text" w:hAnsi="Google Sans Text" w:cs="Google Sans Text"/>
          <w:color w:val="1F1F1F"/>
        </w:rPr>
        <w:t xml:space="preserve"> to satisfy the CFTC.</w:t>
      </w:r>
    </w:p>
    <w:p w14:paraId="0000001C" w14:textId="77777777" w:rsidR="00E02CEA" w:rsidRDefault="006402F1">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CCAR Reporting:</w:t>
      </w:r>
      <w:r>
        <w:rPr>
          <w:rFonts w:ascii="Google Sans Text" w:eastAsia="Google Sans Text" w:hAnsi="Google Sans Text" w:cs="Google Sans Text"/>
          <w:color w:val="1F1F1F"/>
        </w:rPr>
        <w:t xml:space="preserve"> Takes the </w:t>
      </w:r>
      <w:r>
        <w:rPr>
          <w:rFonts w:ascii="Google Sans Text" w:eastAsia="Google Sans Text" w:hAnsi="Google Sans Text" w:cs="Google Sans Text"/>
          <w:i/>
          <w:iCs/>
          <w:color w:val="1F1F1F"/>
        </w:rPr>
        <w:t>same</w:t>
      </w:r>
      <w:r>
        <w:rPr>
          <w:rFonts w:ascii="Google Sans Text" w:eastAsia="Google Sans Text" w:hAnsi="Google Sans Text" w:cs="Google Sans Text"/>
          <w:color w:val="1F1F1F"/>
        </w:rPr>
        <w:t xml:space="preserve"> raw data but maps it to a </w:t>
      </w:r>
      <w:r>
        <w:rPr>
          <w:rFonts w:ascii="Google Sans Text" w:eastAsia="Google Sans Text" w:hAnsi="Google Sans Text" w:cs="Google Sans Text"/>
          <w:b/>
          <w:bCs/>
          <w:color w:val="1F1F1F"/>
        </w:rPr>
        <w:t>different proprietary format</w:t>
      </w:r>
      <w:r>
        <w:rPr>
          <w:rFonts w:ascii="Google Sans Text" w:eastAsia="Google Sans Text" w:hAnsi="Google Sans Text" w:cs="Google Sans Text"/>
          <w:color w:val="1F1F1F"/>
        </w:rPr>
        <w:t xml:space="preserve"> to satisfy the Fed.</w:t>
      </w:r>
    </w:p>
    <w:p w14:paraId="0000001D" w14:textId="77777777" w:rsidR="00E02CEA" w:rsidRDefault="006402F1">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lastRenderedPageBreak/>
        <w:t>If the two teams define "Notional Amount" or "Maturity Date" slightly differently in their respective translation maps, the bank reports contradictory data to different regulators [</w:t>
      </w:r>
      <w:hyperlink r:id="rId20">
        <w:r>
          <w:rPr>
            <w:rFonts w:ascii="Google Sans Text" w:eastAsia="Google Sans Text" w:hAnsi="Google Sans Text" w:cs="Google Sans Text"/>
            <w:color w:val="0B57D0"/>
            <w:u w:val="single"/>
          </w:rPr>
          <w:t>ISDA CDM Factsheet</w:t>
        </w:r>
      </w:hyperlink>
      <w:r>
        <w:rPr>
          <w:rFonts w:ascii="Google Sans Text" w:eastAsia="Google Sans Text" w:hAnsi="Google Sans Text" w:cs="Google Sans Text"/>
          <w:color w:val="1F1F1F"/>
        </w:rPr>
        <w:t>]. The Fed sees one number for capital risk; the CFTC sees another for trade transparency. Reconciling these differences requires thousands of hours of manual labor.</w:t>
      </w:r>
    </w:p>
    <w:p w14:paraId="0000001E" w14:textId="77777777" w:rsidR="00E02CEA" w:rsidRDefault="006402F1">
      <w:pPr>
        <w:pStyle w:val="Heading3"/>
        <w:spacing w:before="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"One Truth" Advantage (The Native Strategy)</w:t>
      </w:r>
    </w:p>
    <w:p w14:paraId="0000001F" w14:textId="77777777" w:rsidR="00E02CEA" w:rsidRDefault="006402F1">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Because </w:t>
      </w:r>
      <w:r>
        <w:rPr>
          <w:rFonts w:ascii="Google Sans Text" w:eastAsia="Google Sans Text" w:hAnsi="Google Sans Text" w:cs="Google Sans Text"/>
          <w:b/>
          <w:bCs/>
          <w:color w:val="1F1F1F"/>
        </w:rPr>
        <w:t>J.P. Morgan</w:t>
      </w:r>
      <w:r>
        <w:rPr>
          <w:rFonts w:ascii="Google Sans Text" w:eastAsia="Google Sans Text" w:hAnsi="Google Sans Text" w:cs="Google Sans Text"/>
          <w:color w:val="1F1F1F"/>
        </w:rPr>
        <w:t xml:space="preserve"> adopted the CDM natively, the trade exists as a standardized object at the source [</w:t>
      </w:r>
      <w:hyperlink r:id="rId21">
        <w:r>
          <w:rPr>
            <w:rFonts w:ascii="Google Sans Text" w:eastAsia="Google Sans Text" w:hAnsi="Google Sans Text" w:cs="Google Sans Text"/>
            <w:color w:val="0B57D0"/>
            <w:u w:val="single"/>
          </w:rPr>
          <w:t>JPMC Tech Blog</w:t>
        </w:r>
      </w:hyperlink>
      <w:r>
        <w:rPr>
          <w:rFonts w:ascii="Google Sans Text" w:eastAsia="Google Sans Text" w:hAnsi="Google Sans Text" w:cs="Google Sans Text"/>
          <w:color w:val="1F1F1F"/>
        </w:rPr>
        <w:t>].</w:t>
      </w:r>
    </w:p>
    <w:p w14:paraId="00000020" w14:textId="77777777" w:rsidR="00E02CEA" w:rsidRDefault="006402F1">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Golden Source:</w:t>
      </w:r>
      <w:r>
        <w:rPr>
          <w:rFonts w:ascii="Google Sans Text" w:eastAsia="Google Sans Text" w:hAnsi="Google Sans Text" w:cs="Google Sans Text"/>
          <w:color w:val="1F1F1F"/>
        </w:rPr>
        <w:t xml:space="preserve"> The trade is booked as a CDM object.</w:t>
      </w:r>
    </w:p>
    <w:p w14:paraId="00000021" w14:textId="77777777" w:rsidR="00E02CEA" w:rsidRDefault="006402F1">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Trade Reporting:</w:t>
      </w:r>
      <w:r>
        <w:rPr>
          <w:rFonts w:ascii="Google Sans Text" w:eastAsia="Google Sans Text" w:hAnsi="Google Sans Text" w:cs="Google Sans Text"/>
          <w:color w:val="1F1F1F"/>
        </w:rPr>
        <w:t xml:space="preserve"> The system reads the CDM object.</w:t>
      </w:r>
    </w:p>
    <w:p w14:paraId="00000022" w14:textId="77777777" w:rsidR="00E02CEA" w:rsidRDefault="006402F1">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CCAR/Risk:</w:t>
      </w:r>
      <w:r>
        <w:rPr>
          <w:rFonts w:ascii="Google Sans Text" w:eastAsia="Google Sans Text" w:hAnsi="Google Sans Text" w:cs="Google Sans Text"/>
          <w:color w:val="1F1F1F"/>
        </w:rPr>
        <w:t xml:space="preserve"> The risk engine reads the </w:t>
      </w:r>
      <w:r>
        <w:rPr>
          <w:rFonts w:ascii="Google Sans Text" w:eastAsia="Google Sans Text" w:hAnsi="Google Sans Text" w:cs="Google Sans Text"/>
          <w:i/>
          <w:iCs/>
          <w:color w:val="1F1F1F"/>
        </w:rPr>
        <w:t>same</w:t>
      </w:r>
      <w:r>
        <w:rPr>
          <w:rFonts w:ascii="Google Sans Text" w:eastAsia="Google Sans Text" w:hAnsi="Google Sans Text" w:cs="Google Sans Text"/>
          <w:color w:val="1F1F1F"/>
        </w:rPr>
        <w:t xml:space="preserve"> CDM object.</w:t>
      </w:r>
    </w:p>
    <w:p w14:paraId="00000023" w14:textId="77777777" w:rsidR="00E02CEA" w:rsidRDefault="006402F1">
      <w:pPr>
        <w:pBdr>
          <w:top w:val="nil"/>
          <w:left w:val="nil"/>
          <w:bottom w:val="nil"/>
          <w:right w:val="nil"/>
          <w:between w:val="nil"/>
        </w:pBdr>
        <w:spacing w:before="120"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Even though CCAR requires different calculations than trade reporting, they both start from the </w:t>
      </w:r>
      <w:r>
        <w:rPr>
          <w:rFonts w:ascii="Google Sans Text" w:eastAsia="Google Sans Text" w:hAnsi="Google Sans Text" w:cs="Google Sans Text"/>
          <w:b/>
          <w:bCs/>
          <w:color w:val="1F1F1F"/>
        </w:rPr>
        <w:t>exact same semantic definition</w:t>
      </w:r>
      <w:r>
        <w:rPr>
          <w:rFonts w:ascii="Google Sans Text" w:eastAsia="Google Sans Text" w:hAnsi="Google Sans Text" w:cs="Google Sans Text"/>
          <w:color w:val="1F1F1F"/>
        </w:rPr>
        <w:t xml:space="preserve"> of the trade [</w:t>
      </w:r>
      <w:hyperlink r:id="rId22">
        <w:r>
          <w:rPr>
            <w:rFonts w:ascii="Google Sans Text" w:eastAsia="Google Sans Text" w:hAnsi="Google Sans Text" w:cs="Google Sans Text"/>
            <w:color w:val="0B57D0"/>
            <w:u w:val="single"/>
          </w:rPr>
          <w:t>JPMC Tech Blog</w:t>
        </w:r>
      </w:hyperlink>
      <w:r>
        <w:rPr>
          <w:rFonts w:ascii="Google Sans Text" w:eastAsia="Google Sans Text" w:hAnsi="Google Sans Text" w:cs="Google Sans Text"/>
          <w:color w:val="1F1F1F"/>
        </w:rPr>
        <w:t xml:space="preserve">]. This guarantees consistency. If the definition of a "Swap" changes in the CDM, it updates automatically for </w:t>
      </w:r>
      <w:r>
        <w:rPr>
          <w:rFonts w:ascii="Google Sans Text" w:eastAsia="Google Sans Text" w:hAnsi="Google Sans Text" w:cs="Google Sans Text"/>
          <w:i/>
          <w:iCs/>
          <w:color w:val="1F1F1F"/>
        </w:rPr>
        <w:t>both</w:t>
      </w:r>
      <w:r>
        <w:rPr>
          <w:rFonts w:ascii="Google Sans Text" w:eastAsia="Google Sans Text" w:hAnsi="Google Sans Text" w:cs="Google Sans Text"/>
          <w:color w:val="1F1F1F"/>
        </w:rPr>
        <w:t xml:space="preserve"> the Trade Report and the Capital Report. JPM achieves </w:t>
      </w:r>
      <w:r>
        <w:rPr>
          <w:rFonts w:ascii="Google Sans Text" w:eastAsia="Google Sans Text" w:hAnsi="Google Sans Text" w:cs="Google Sans Text"/>
          <w:b/>
          <w:bCs/>
          <w:color w:val="1F1F1F"/>
        </w:rPr>
        <w:t>semantic consistency</w:t>
      </w:r>
      <w:r>
        <w:rPr>
          <w:rFonts w:ascii="Google Sans Text" w:eastAsia="Google Sans Text" w:hAnsi="Google Sans Text" w:cs="Google Sans Text"/>
          <w:color w:val="1F1F1F"/>
        </w:rPr>
        <w:t xml:space="preserve"> across the enterprise, while peers struggle with "mapping divergence" between departments.</w:t>
      </w:r>
    </w:p>
    <w:p w14:paraId="00000024" w14:textId="77777777" w:rsidR="00E02CEA" w:rsidRDefault="006402F1">
      <w:pPr>
        <w:pStyle w:val="Heading2"/>
        <w:spacing w:before="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Chapter 5: The Future (AI &amp; Blockchain)</w:t>
      </w:r>
    </w:p>
    <w:p w14:paraId="00000025" w14:textId="77777777" w:rsidR="00E02CEA" w:rsidRDefault="006402F1">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The divergence matters most for what comes next.</w:t>
      </w:r>
    </w:p>
    <w:p w14:paraId="00000026" w14:textId="77777777" w:rsidR="00E02CEA" w:rsidRDefault="006402F1">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color w:val="1F1F1F"/>
        </w:rPr>
        <w:t>Blockchain (DLT):</w:t>
      </w:r>
      <w:r>
        <w:rPr>
          <w:rFonts w:ascii="Google Sans Text" w:eastAsia="Google Sans Text" w:hAnsi="Google Sans Text" w:cs="Google Sans Text"/>
          <w:color w:val="1F1F1F"/>
        </w:rPr>
        <w:t xml:space="preserve"> The future of finance is "tokenized" assets living on blockchains. These blockchains require standardized data to work. Because JPM's data is already standardized (Native), they are ready to plug directly into this future [</w:t>
      </w:r>
      <w:hyperlink r:id="rId23">
        <w:r>
          <w:rPr>
            <w:rFonts w:ascii="Google Sans Text" w:eastAsia="Google Sans Text" w:hAnsi="Google Sans Text" w:cs="Google Sans Text"/>
            <w:color w:val="0B57D0"/>
            <w:u w:val="single"/>
          </w:rPr>
          <w:t>GFMA DLT Impact</w:t>
        </w:r>
      </w:hyperlink>
      <w:r>
        <w:rPr>
          <w:rFonts w:ascii="Google Sans Text" w:eastAsia="Google Sans Text" w:hAnsi="Google Sans Text" w:cs="Google Sans Text"/>
          <w:color w:val="1F1F1F"/>
        </w:rPr>
        <w:t xml:space="preserve">]. Peers will need to build </w:t>
      </w:r>
      <w:r>
        <w:rPr>
          <w:rFonts w:ascii="Google Sans Text" w:eastAsia="Google Sans Text" w:hAnsi="Google Sans Text" w:cs="Google Sans Text"/>
          <w:i/>
          <w:iCs/>
          <w:color w:val="1F1F1F"/>
        </w:rPr>
        <w:t>another</w:t>
      </w:r>
      <w:r>
        <w:rPr>
          <w:rFonts w:ascii="Google Sans Text" w:eastAsia="Google Sans Text" w:hAnsi="Google Sans Text" w:cs="Google Sans Text"/>
          <w:color w:val="1F1F1F"/>
        </w:rPr>
        <w:t xml:space="preserve"> translation layer to connect, leaving them "off-chain" and slow [</w:t>
      </w:r>
      <w:hyperlink r:id="rId24">
        <w:r>
          <w:rPr>
            <w:rFonts w:ascii="Google Sans Text" w:eastAsia="Google Sans Text" w:hAnsi="Google Sans Text" w:cs="Google Sans Text"/>
            <w:color w:val="0B57D0"/>
            <w:u w:val="single"/>
          </w:rPr>
          <w:t>ISDA &amp; Digital Asset</w:t>
        </w:r>
      </w:hyperlink>
      <w:r>
        <w:rPr>
          <w:rFonts w:ascii="Google Sans Text" w:eastAsia="Google Sans Text" w:hAnsi="Google Sans Text" w:cs="Google Sans Text"/>
          <w:color w:val="1F1F1F"/>
        </w:rPr>
        <w:t>].</w:t>
      </w:r>
    </w:p>
    <w:p w14:paraId="00000027" w14:textId="77777777" w:rsidR="00E02CEA" w:rsidRDefault="006402F1">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AI:</w:t>
      </w:r>
      <w:r>
        <w:rPr>
          <w:rFonts w:ascii="Google Sans Text" w:eastAsia="Google Sans Text" w:hAnsi="Google Sans Text" w:cs="Google Sans Text"/>
          <w:color w:val="1F1F1F"/>
        </w:rPr>
        <w:t xml:space="preserve"> Artificial Intelligence needs clean, consistent data. JPM's native data is ready for AI agents. Peers are feeding their AI "translated" data, which can lose context and nuance, leading to "hallucinations" or bad insights [</w:t>
      </w:r>
      <w:hyperlink r:id="rId25">
        <w:r>
          <w:rPr>
            <w:rFonts w:ascii="Google Sans Text" w:eastAsia="Google Sans Text" w:hAnsi="Google Sans Text" w:cs="Google Sans Text"/>
            <w:color w:val="0B57D0"/>
            <w:u w:val="single"/>
          </w:rPr>
          <w:t>JPMC Tech Blog</w:t>
        </w:r>
      </w:hyperlink>
      <w:r>
        <w:rPr>
          <w:rFonts w:ascii="Google Sans Text" w:eastAsia="Google Sans Text" w:hAnsi="Google Sans Text" w:cs="Google Sans Text"/>
          <w:color w:val="1F1F1F"/>
        </w:rPr>
        <w:t>].</w:t>
      </w:r>
    </w:p>
    <w:p w14:paraId="00000028" w14:textId="77777777" w:rsidR="00E02CEA" w:rsidRDefault="006402F1">
      <w:pPr>
        <w:pStyle w:val="Heading2"/>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Summary</w:t>
      </w:r>
    </w:p>
    <w:p w14:paraId="00000029" w14:textId="77777777" w:rsidR="00E02CEA" w:rsidRDefault="006402F1">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While peers are using the CDM as a </w:t>
      </w:r>
      <w:r>
        <w:rPr>
          <w:rFonts w:ascii="Google Sans Text" w:eastAsia="Google Sans Text" w:hAnsi="Google Sans Text" w:cs="Google Sans Text"/>
          <w:b/>
          <w:bCs/>
          <w:color w:val="1F1F1F"/>
        </w:rPr>
        <w:t>dictionary</w:t>
      </w:r>
      <w:r>
        <w:rPr>
          <w:rFonts w:ascii="Google Sans Text" w:eastAsia="Google Sans Text" w:hAnsi="Google Sans Text" w:cs="Google Sans Text"/>
          <w:color w:val="1F1F1F"/>
        </w:rPr>
        <w:t xml:space="preserve"> to survive today's regulations, J.P. Morgan is learning the language to dominate tomorrow's digital economy.</w:t>
      </w:r>
    </w:p>
    <w:sectPr w:rsidR="00E02CEA">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4372F0FD-878D-47D0-AED8-572A06B28A20}"/>
  </w:font>
  <w:font w:name="Google Sans Text">
    <w:charset w:val="00"/>
    <w:family w:val="auto"/>
    <w:pitch w:val="default"/>
    <w:embedRegular r:id="rId2" w:fontKey="{B0818CD2-6A54-467D-9B75-6E399E30A503}"/>
    <w:embedBold r:id="rId3" w:fontKey="{9FE440FD-D24A-41AF-9EEC-2431F9C8D747}"/>
    <w:embedItalic r:id="rId4" w:fontKey="{5B52A156-6B9A-47B9-B324-70DB00FE1F5C}"/>
  </w:font>
  <w:font w:name="Calibri">
    <w:panose1 w:val="020F0502020204030204"/>
    <w:charset w:val="00"/>
    <w:family w:val="swiss"/>
    <w:pitch w:val="variable"/>
    <w:sig w:usb0="E4002EFF" w:usb1="C200247B" w:usb2="00000009" w:usb3="00000000" w:csb0="000001FF" w:csb1="00000000"/>
    <w:embedRegular r:id="rId5" w:fontKey="{9C20E74F-7EC0-4F80-A116-E338FF1DD39C}"/>
  </w:font>
  <w:font w:name="Cambria">
    <w:panose1 w:val="02040503050406030204"/>
    <w:charset w:val="00"/>
    <w:family w:val="roman"/>
    <w:pitch w:val="variable"/>
    <w:sig w:usb0="E00006FF" w:usb1="420024FF" w:usb2="02000000" w:usb3="00000000" w:csb0="0000019F" w:csb1="00000000"/>
    <w:embedRegular r:id="rId6" w:fontKey="{FB0819BB-4460-4568-8E50-376EFF8B399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9403F3"/>
    <w:multiLevelType w:val="multilevel"/>
    <w:tmpl w:val="6930BA8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47D042B1"/>
    <w:multiLevelType w:val="multilevel"/>
    <w:tmpl w:val="74A6A8C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4BF8369C"/>
    <w:multiLevelType w:val="multilevel"/>
    <w:tmpl w:val="683A124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5DC04A12"/>
    <w:multiLevelType w:val="multilevel"/>
    <w:tmpl w:val="9AE4920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78E710C9"/>
    <w:multiLevelType w:val="multilevel"/>
    <w:tmpl w:val="60A4E79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989556443">
    <w:abstractNumId w:val="2"/>
  </w:num>
  <w:num w:numId="2" w16cid:durableId="1725982504">
    <w:abstractNumId w:val="1"/>
  </w:num>
  <w:num w:numId="3" w16cid:durableId="834029102">
    <w:abstractNumId w:val="0"/>
  </w:num>
  <w:num w:numId="4" w16cid:durableId="432828046">
    <w:abstractNumId w:val="3"/>
  </w:num>
  <w:num w:numId="5" w16cid:durableId="158980187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2CEA"/>
    <w:rsid w:val="002D39DD"/>
    <w:rsid w:val="006402F1"/>
    <w:rsid w:val="0064675B"/>
    <w:rsid w:val="00843675"/>
    <w:rsid w:val="00C5393B"/>
    <w:rsid w:val="00CF5D62"/>
    <w:rsid w:val="00E02C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518A2"/>
  <w15:docId w15:val="{48B9AEDB-2378-4610-BED6-96FC827914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jpmorganchase.com/about/technology/blog/jpmc-launches-finos-open-source-solution" TargetMode="External"/><Relationship Id="rId13" Type="http://schemas.openxmlformats.org/officeDocument/2006/relationships/hyperlink" Target="https://www.isda.org/a/LhRgE/Industry-Perspectives-on-the-ISDA-DRR-Unlocking-Efficiency-Accuracy-and-Strategic-Value.pdf" TargetMode="External"/><Relationship Id="rId18" Type="http://schemas.openxmlformats.org/officeDocument/2006/relationships/hyperlink" Target="https://www.cognizant.com/us/en/insights/insights-blog/common-domain-model-adoption"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jpmorganchase.com/about/technology/blog/jpmc-launches-finos-open-source-solution" TargetMode="External"/><Relationship Id="rId7" Type="http://schemas.openxmlformats.org/officeDocument/2006/relationships/hyperlink" Target="https://www.finos.org/common-domain-model" TargetMode="External"/><Relationship Id="rId12" Type="http://schemas.openxmlformats.org/officeDocument/2006/relationships/hyperlink" Target="https://www.isda.org/a/LhRgE/Industry-Perspectives-on-the-ISDA-DRR-Unlocking-Efficiency-Accuracy-and-Strategic-Value.pdf" TargetMode="External"/><Relationship Id="rId17" Type="http://schemas.openxmlformats.org/officeDocument/2006/relationships/hyperlink" Target="https://fmsb.com/wp-content/uploads/2025/04/The-critical-role-of-data-management-in-the-financial-system.pdf" TargetMode="External"/><Relationship Id="rId25" Type="http://schemas.openxmlformats.org/officeDocument/2006/relationships/hyperlink" Target="https://www.jpmorganchase.com/about/technology/blog/jpmc-launches-finos-open-source-solution" TargetMode="External"/><Relationship Id="rId2" Type="http://schemas.openxmlformats.org/officeDocument/2006/relationships/styles" Target="styles.xml"/><Relationship Id="rId16" Type="http://schemas.openxmlformats.org/officeDocument/2006/relationships/hyperlink" Target="https://www.isda.org/a/LhRgE/Industry-Perspectives-on-the-ISDA-DRR-Unlocking-Efficiency-Accuracy-and-Strategic-Value.pdf" TargetMode="External"/><Relationship Id="rId20" Type="http://schemas.openxmlformats.org/officeDocument/2006/relationships/hyperlink" Target="https://www.isda.org/a/z8AEE/ISDA-CDM-Factsheet.pdf" TargetMode="External"/><Relationship Id="rId1" Type="http://schemas.openxmlformats.org/officeDocument/2006/relationships/numbering" Target="numbering.xml"/><Relationship Id="rId6" Type="http://schemas.openxmlformats.org/officeDocument/2006/relationships/hyperlink" Target="https://www.isda.org/a/LhRgE/Industry-Perspectives-on-the-ISDA-DRR-Unlocking-Efficiency-Accuracy-and-Strategic-Value.pdf" TargetMode="External"/><Relationship Id="rId11" Type="http://schemas.openxmlformats.org/officeDocument/2006/relationships/hyperlink" Target="https://www.cognizant.com/us/en/insights/insights-blog/common-domain-model-adoption" TargetMode="External"/><Relationship Id="rId24" Type="http://schemas.openxmlformats.org/officeDocument/2006/relationships/hyperlink" Target="https://www.isda.org/a/yVrTE/ISDA-and-Digital-Asset-Expand-CDM-Development.pdf" TargetMode="External"/><Relationship Id="rId5" Type="http://schemas.openxmlformats.org/officeDocument/2006/relationships/hyperlink" Target="https://www.isda.org/isda-solutions-infohub/isda-digital-regulatory-reporting/" TargetMode="External"/><Relationship Id="rId15" Type="http://schemas.openxmlformats.org/officeDocument/2006/relationships/hyperlink" Target="https://www.americanbanker.com/news/state-street-tests-a-rosetta-stone-for-bank-databases" TargetMode="External"/><Relationship Id="rId23" Type="http://schemas.openxmlformats.org/officeDocument/2006/relationships/hyperlink" Target="https://www.gfma.org/wp-content/uploads/2025/08/2.-exec-sum-impact-of-dlt-in-cap-mkts-final.pdf" TargetMode="External"/><Relationship Id="rId10" Type="http://schemas.openxmlformats.org/officeDocument/2006/relationships/hyperlink" Target="https://www.cognizant.com/us/en/insights/insights-blog/common-domain-model-adoption" TargetMode="External"/><Relationship Id="rId19" Type="http://schemas.openxmlformats.org/officeDocument/2006/relationships/hyperlink" Target="https://www.isda.org/a/LhRgE/Industry-Perspectives-on-the-ISDA-DRR-Unlocking-Efficiency-Accuracy-and-Strategic-Value.pdf" TargetMode="External"/><Relationship Id="rId4" Type="http://schemas.openxmlformats.org/officeDocument/2006/relationships/webSettings" Target="webSettings.xml"/><Relationship Id="rId9" Type="http://schemas.openxmlformats.org/officeDocument/2006/relationships/hyperlink" Target="https://www.jpmorganchase.com/about/technology/blog/jpmc-launches-finos-open-source-solution" TargetMode="External"/><Relationship Id="rId14" Type="http://schemas.openxmlformats.org/officeDocument/2006/relationships/hyperlink" Target="https://www.americanbanker.com/news/state-street-tests-a-rosetta-stone-for-bank-databases" TargetMode="External"/><Relationship Id="rId22" Type="http://schemas.openxmlformats.org/officeDocument/2006/relationships/hyperlink" Target="https://www.jpmorganchase.com/about/technology/blog/jpmc-launches-finos-open-source-solution" TargetMode="Externa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Pages>
  <Words>1313</Words>
  <Characters>7487</Characters>
  <Application>Microsoft Office Word</Application>
  <DocSecurity>0</DocSecurity>
  <Lines>62</Lines>
  <Paragraphs>17</Paragraphs>
  <ScaleCrop>false</ScaleCrop>
  <Company/>
  <LinksUpToDate>false</LinksUpToDate>
  <CharactersWithSpaces>8783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Pensa, Matthew (Bip.Monticello)</dc:creator>
  <cp:lastModifiedBy>Pensa, Matthew (Bip.Monticello)</cp:lastModifiedBy>
  <cp:revision>2</cp:revision>
  <dcterms:created xsi:type="dcterms:W3CDTF">2025-11-21T17:04:00Z</dcterms:created>
  <dcterms:modified xsi:type="dcterms:W3CDTF">2025-11-21T17:04:00Z</dcterms:modified>
</cp:coreProperties>
</file>